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2BF7" w14:textId="77777777" w:rsidR="00E4134F" w:rsidRDefault="00301583" w:rsidP="00E4134F">
      <w:pPr>
        <w:spacing w:line="276" w:lineRule="auto"/>
        <w:jc w:val="center"/>
        <w:rPr>
          <w:rFonts w:asciiTheme="minorHAnsi" w:hAnsiTheme="minorHAnsi" w:cstheme="minorHAnsi"/>
          <w:b/>
          <w:noProof/>
          <w:sz w:val="44"/>
          <w:szCs w:val="24"/>
          <w:lang w:val="tr-TR"/>
        </w:rPr>
      </w:pPr>
      <w:r>
        <w:rPr>
          <w:noProof/>
          <w:lang w:val="en-US"/>
        </w:rPr>
        <w:drawing>
          <wp:inline distT="0" distB="0" distL="0" distR="0" wp14:anchorId="153D6ADA" wp14:editId="7038F726">
            <wp:extent cx="1219200" cy="72614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07" cy="72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  </w:t>
      </w:r>
      <w:r w:rsidR="008C6124"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</w:t>
      </w:r>
      <w:r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 </w:t>
      </w:r>
      <w:r w:rsidR="004327C1"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 </w:t>
      </w:r>
      <w:r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    </w:t>
      </w:r>
      <w:r w:rsidR="00D576C4">
        <w:rPr>
          <w:rFonts w:asciiTheme="minorHAnsi" w:hAnsiTheme="minorHAnsi" w:cstheme="minorHAnsi"/>
          <w:b/>
          <w:noProof/>
          <w:sz w:val="44"/>
          <w:szCs w:val="24"/>
          <w:lang w:val="tr-TR"/>
        </w:rPr>
        <w:drawing>
          <wp:inline distT="0" distB="0" distL="0" distR="0" wp14:anchorId="546E515C" wp14:editId="27340745">
            <wp:extent cx="1171302" cy="8096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89" cy="82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6C4">
        <w:rPr>
          <w:noProof/>
          <w:lang w:val="en-US"/>
        </w:rPr>
        <w:t xml:space="preserve">       </w:t>
      </w:r>
      <w:r w:rsidR="004327C1">
        <w:rPr>
          <w:noProof/>
          <w:lang w:val="en-US"/>
        </w:rPr>
        <w:t xml:space="preserve">  </w:t>
      </w:r>
      <w:r w:rsidR="008C6124">
        <w:rPr>
          <w:noProof/>
          <w:lang w:val="en-US"/>
        </w:rPr>
        <w:t xml:space="preserve">  </w:t>
      </w:r>
      <w:r w:rsidR="00D576C4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  </w:t>
      </w:r>
      <w:r w:rsidR="00D576C4">
        <w:rPr>
          <w:noProof/>
          <w:lang w:val="en-US"/>
        </w:rPr>
        <w:t xml:space="preserve"> </w:t>
      </w:r>
      <w:r w:rsidR="00D576C4" w:rsidRPr="00FB54FB">
        <w:rPr>
          <w:rFonts w:asciiTheme="minorHAnsi" w:hAnsiTheme="minorHAnsi" w:cstheme="minorHAnsi"/>
          <w:noProof/>
          <w:szCs w:val="24"/>
          <w:lang w:val="en-US" w:eastAsia="en-US"/>
        </w:rPr>
        <w:drawing>
          <wp:inline distT="0" distB="0" distL="0" distR="0" wp14:anchorId="1207BB89" wp14:editId="4DB22599">
            <wp:extent cx="1885950" cy="5810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83"/>
                    <a:stretch/>
                  </pic:blipFill>
                  <pic:spPr bwMode="auto">
                    <a:xfrm>
                      <a:off x="0" y="0"/>
                      <a:ext cx="188595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6C4">
        <w:rPr>
          <w:noProof/>
          <w:lang w:val="en-US"/>
        </w:rPr>
        <w:t xml:space="preserve">        </w:t>
      </w:r>
      <w:r w:rsidR="00D576C4"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 </w:t>
      </w:r>
    </w:p>
    <w:p w14:paraId="654F77C6" w14:textId="77777777" w:rsidR="00F81C4C" w:rsidRDefault="00F81C4C" w:rsidP="00F81C4C">
      <w:pPr>
        <w:spacing w:line="276" w:lineRule="auto"/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</w:pPr>
    </w:p>
    <w:p w14:paraId="34B2C6FD" w14:textId="73C226E8" w:rsidR="00E4134F" w:rsidRDefault="00F81C4C" w:rsidP="00F81C4C">
      <w:pPr>
        <w:spacing w:line="276" w:lineRule="auto"/>
        <w:rPr>
          <w:b/>
          <w:kern w:val="0"/>
          <w:u w:val="single"/>
          <w:lang w:val="tr-TR" w:eastAsia="en-US"/>
        </w:rPr>
      </w:pPr>
      <w:proofErr w:type="spellStart"/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>Basın</w:t>
      </w:r>
      <w:proofErr w:type="spellEnd"/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</w:t>
      </w:r>
      <w:proofErr w:type="spellStart"/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>Bülteni</w:t>
      </w:r>
      <w:proofErr w:type="spellEnd"/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</w:t>
      </w:r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ab/>
      </w:r>
      <w:r w:rsidR="00BC738D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ab/>
        <w:t xml:space="preserve">        </w:t>
      </w:r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ab/>
      </w:r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ab/>
        <w:t xml:space="preserve">            </w:t>
      </w:r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ab/>
      </w:r>
      <w:r w:rsidR="00BC738D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       </w:t>
      </w:r>
      <w:bookmarkStart w:id="0" w:name="_GoBack"/>
      <w:bookmarkEnd w:id="0"/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    </w:t>
      </w:r>
      <w:r w:rsidR="00ED3DAE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         </w:t>
      </w:r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     </w:t>
      </w:r>
      <w:r w:rsidR="00BC738D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>10</w:t>
      </w:r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</w:t>
      </w:r>
      <w:proofErr w:type="spellStart"/>
      <w:r w:rsidR="00ED3DAE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>Şubat</w:t>
      </w:r>
      <w:proofErr w:type="spellEnd"/>
      <w:r w:rsidRPr="00F81C4C">
        <w:rPr>
          <w:rStyle w:val="normaltextrun"/>
          <w:rFonts w:cs="Tahoma"/>
          <w:b/>
          <w:bCs/>
          <w:color w:val="000000"/>
          <w:u w:val="single"/>
          <w:shd w:val="clear" w:color="auto" w:fill="FFFFFF"/>
        </w:rPr>
        <w:t xml:space="preserve"> 2020</w:t>
      </w:r>
    </w:p>
    <w:p w14:paraId="4988AC81" w14:textId="77777777" w:rsidR="00ED3DAE" w:rsidRPr="00ED3DAE" w:rsidRDefault="00ED3DAE" w:rsidP="00F81C4C">
      <w:pPr>
        <w:spacing w:line="276" w:lineRule="auto"/>
        <w:rPr>
          <w:b/>
          <w:kern w:val="0"/>
          <w:u w:val="single"/>
          <w:lang w:val="tr-TR" w:eastAsia="en-US"/>
        </w:rPr>
      </w:pPr>
    </w:p>
    <w:p w14:paraId="1B4EAD7A" w14:textId="77777777" w:rsidR="00E4134F" w:rsidRDefault="00E4134F" w:rsidP="00E4134F">
      <w:pPr>
        <w:spacing w:line="276" w:lineRule="auto"/>
        <w:jc w:val="center"/>
        <w:rPr>
          <w:rFonts w:asciiTheme="minorHAnsi" w:hAnsiTheme="minorHAnsi" w:cstheme="minorHAnsi"/>
          <w:b/>
          <w:noProof/>
          <w:sz w:val="44"/>
          <w:szCs w:val="24"/>
          <w:lang w:val="tr-TR"/>
        </w:rPr>
      </w:pPr>
      <w:r w:rsidRPr="004B0513"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Fibabanka’dan </w:t>
      </w:r>
      <w:r>
        <w:rPr>
          <w:rFonts w:asciiTheme="minorHAnsi" w:hAnsiTheme="minorHAnsi" w:cstheme="minorHAnsi"/>
          <w:b/>
          <w:noProof/>
          <w:sz w:val="44"/>
          <w:szCs w:val="24"/>
          <w:lang w:val="tr-TR"/>
        </w:rPr>
        <w:t>E</w:t>
      </w:r>
      <w:r w:rsidRPr="004B0513">
        <w:rPr>
          <w:rFonts w:asciiTheme="minorHAnsi" w:hAnsiTheme="minorHAnsi" w:cstheme="minorHAnsi"/>
          <w:b/>
          <w:noProof/>
          <w:sz w:val="44"/>
          <w:szCs w:val="24"/>
          <w:lang w:val="tr-TR"/>
        </w:rPr>
        <w:t>snaf</w:t>
      </w:r>
      <w:r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ve</w:t>
      </w:r>
      <w:r w:rsidRPr="004B0513"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</w:t>
      </w:r>
      <w:r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Mikro İşletmelere </w:t>
      </w:r>
      <w:r w:rsidRPr="004B0513">
        <w:rPr>
          <w:rFonts w:asciiTheme="minorHAnsi" w:hAnsiTheme="minorHAnsi" w:cstheme="minorHAnsi"/>
          <w:b/>
          <w:noProof/>
          <w:sz w:val="44"/>
          <w:szCs w:val="24"/>
          <w:lang w:val="tr-TR"/>
        </w:rPr>
        <w:t>Avrupa Yatırım Fonu ile İkinci Destek</w:t>
      </w:r>
      <w:r>
        <w:rPr>
          <w:rFonts w:asciiTheme="minorHAnsi" w:hAnsiTheme="minorHAnsi" w:cstheme="minorHAnsi"/>
          <w:b/>
          <w:noProof/>
          <w:sz w:val="44"/>
          <w:szCs w:val="24"/>
          <w:lang w:val="tr-TR"/>
        </w:rPr>
        <w:t xml:space="preserve"> </w:t>
      </w:r>
    </w:p>
    <w:p w14:paraId="3461E847" w14:textId="77777777" w:rsidR="00E4134F" w:rsidRDefault="00E4134F" w:rsidP="00E4134F">
      <w:pPr>
        <w:spacing w:line="276" w:lineRule="auto"/>
        <w:jc w:val="center"/>
        <w:rPr>
          <w:rFonts w:asciiTheme="minorHAnsi" w:hAnsiTheme="minorHAnsi" w:cstheme="minorHAnsi"/>
          <w:b/>
          <w:noProof/>
          <w:sz w:val="26"/>
          <w:szCs w:val="26"/>
          <w:lang w:val="tr-TR"/>
        </w:rPr>
      </w:pPr>
      <w:r w:rsidRPr="00244134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Avrupa 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>Birliği</w:t>
      </w:r>
      <w:r w:rsidRPr="00244134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 tarafından 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>fonlanan</w:t>
      </w:r>
      <w:r w:rsidRPr="00244134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 İstihdam ve Sosyal Yenilik (EaSI) Programı’nın Türkiye’deki ilk ve tek uygulayıcısı olan Fibabanka’nın limiti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>,</w:t>
      </w:r>
      <w:r w:rsidRPr="00244134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 Avrupa Yatırım Fonu (EIF) tarafından 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>40 milyon avro</w:t>
      </w:r>
      <w:r w:rsidRPr="00244134">
        <w:rPr>
          <w:rFonts w:asciiTheme="minorHAnsi" w:hAnsiTheme="minorHAnsi" w:cstheme="minorHAnsi"/>
          <w:b/>
          <w:noProof/>
          <w:sz w:val="26"/>
          <w:szCs w:val="26"/>
          <w:lang w:val="tr-TR"/>
        </w:rPr>
        <w:t>ya yükseltildi.</w:t>
      </w:r>
      <w:r w:rsidRPr="005C44A6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 </w:t>
      </w:r>
    </w:p>
    <w:p w14:paraId="2B18C628" w14:textId="77777777" w:rsidR="00E4134F" w:rsidRDefault="00E4134F" w:rsidP="00E4134F">
      <w:pPr>
        <w:spacing w:line="276" w:lineRule="auto"/>
        <w:jc w:val="center"/>
        <w:rPr>
          <w:rFonts w:asciiTheme="minorHAnsi" w:hAnsiTheme="minorHAnsi" w:cstheme="minorHAnsi"/>
          <w:b/>
          <w:noProof/>
          <w:sz w:val="26"/>
          <w:szCs w:val="26"/>
          <w:lang w:val="tr-TR"/>
        </w:rPr>
      </w:pPr>
    </w:p>
    <w:p w14:paraId="7076C89E" w14:textId="77777777" w:rsidR="00E4134F" w:rsidRPr="00864302" w:rsidRDefault="00E4134F" w:rsidP="00E4134F">
      <w:pPr>
        <w:spacing w:line="276" w:lineRule="auto"/>
        <w:jc w:val="center"/>
        <w:rPr>
          <w:rFonts w:asciiTheme="minorHAnsi" w:hAnsiTheme="minorHAnsi" w:cstheme="minorHAnsi"/>
          <w:b/>
          <w:noProof/>
          <w:sz w:val="26"/>
          <w:szCs w:val="26"/>
          <w:lang w:val="tr-TR"/>
        </w:rPr>
      </w:pPr>
      <w:r w:rsidRPr="005C44A6">
        <w:rPr>
          <w:rFonts w:asciiTheme="minorHAnsi" w:hAnsiTheme="minorHAnsi" w:cstheme="minorHAnsi"/>
          <w:b/>
          <w:noProof/>
          <w:sz w:val="26"/>
          <w:szCs w:val="26"/>
          <w:lang w:val="tr-TR"/>
        </w:rPr>
        <w:t>Fibabanka,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 2020 yılında da </w:t>
      </w:r>
      <w:r w:rsidRPr="00864302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esnaf ve 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>mikro işletmelere</w:t>
      </w:r>
      <w:r w:rsidRPr="00864302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 3 aydan 24 aya </w:t>
      </w:r>
      <w:r w:rsidRPr="00C60AD5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varan vade seçeneği 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ile </w:t>
      </w:r>
      <w:r w:rsidRPr="00864302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130.000 </w:t>
      </w:r>
      <w:r w:rsidRPr="000C474C">
        <w:rPr>
          <w:rFonts w:asciiTheme="minorHAnsi" w:hAnsiTheme="minorHAnsi" w:cstheme="minorHAnsi"/>
          <w:b/>
          <w:noProof/>
          <w:sz w:val="26"/>
          <w:szCs w:val="26"/>
          <w:lang w:val="tr-TR"/>
        </w:rPr>
        <w:t>TL'ye kadar kredi</w:t>
      </w:r>
      <w:r w:rsidRPr="00864302">
        <w:rPr>
          <w:rFonts w:asciiTheme="minorHAnsi" w:hAnsiTheme="minorHAnsi" w:cstheme="minorHAnsi"/>
          <w:b/>
          <w:noProof/>
          <w:sz w:val="26"/>
          <w:szCs w:val="26"/>
          <w:lang w:val="tr-TR"/>
        </w:rPr>
        <w:t xml:space="preserve"> </w:t>
      </w:r>
      <w:r>
        <w:rPr>
          <w:rFonts w:asciiTheme="minorHAnsi" w:hAnsiTheme="minorHAnsi" w:cstheme="minorHAnsi"/>
          <w:b/>
          <w:noProof/>
          <w:sz w:val="26"/>
          <w:szCs w:val="26"/>
          <w:lang w:val="tr-TR"/>
        </w:rPr>
        <w:t>kullanım imkanı sağlayacak.</w:t>
      </w:r>
    </w:p>
    <w:p w14:paraId="17FB384E" w14:textId="77777777" w:rsidR="00E4134F" w:rsidRDefault="00E4134F" w:rsidP="00E4134F">
      <w:pPr>
        <w:pStyle w:val="NormalWeb"/>
        <w:shd w:val="clear" w:color="auto" w:fill="FFFFFF"/>
        <w:spacing w:before="0" w:after="300" w:line="276" w:lineRule="auto"/>
        <w:rPr>
          <w:rFonts w:asciiTheme="minorHAnsi" w:hAnsiTheme="minorHAnsi" w:cstheme="minorHAnsi"/>
          <w:noProof/>
          <w:sz w:val="2"/>
          <w:szCs w:val="24"/>
          <w:lang w:val="tr-TR"/>
        </w:rPr>
      </w:pPr>
    </w:p>
    <w:p w14:paraId="1BABD930" w14:textId="77777777" w:rsidR="00E4134F" w:rsidRDefault="00E4134F" w:rsidP="00E4134F">
      <w:pPr>
        <w:pStyle w:val="NormalWeb"/>
        <w:shd w:val="clear" w:color="auto" w:fill="FFFFFF"/>
        <w:spacing w:before="0" w:after="300" w:line="276" w:lineRule="auto"/>
        <w:jc w:val="both"/>
        <w:rPr>
          <w:rFonts w:asciiTheme="minorHAnsi" w:hAnsiTheme="minorHAnsi" w:cstheme="minorHAnsi"/>
          <w:noProof/>
          <w:szCs w:val="24"/>
          <w:lang w:val="tr-TR"/>
        </w:rPr>
      </w:pPr>
      <w:r w:rsidRPr="00244134">
        <w:rPr>
          <w:rFonts w:asciiTheme="minorHAnsi" w:hAnsiTheme="minorHAnsi" w:cstheme="minorHAnsi"/>
          <w:noProof/>
          <w:szCs w:val="24"/>
          <w:lang w:val="tr-TR"/>
        </w:rPr>
        <w:t>Müşterilerinin ihtiyaç duydu</w:t>
      </w:r>
      <w:r>
        <w:rPr>
          <w:rFonts w:asciiTheme="minorHAnsi" w:hAnsiTheme="minorHAnsi" w:cstheme="minorHAnsi"/>
          <w:noProof/>
          <w:szCs w:val="24"/>
          <w:lang w:val="tr-TR"/>
        </w:rPr>
        <w:t>kları</w:t>
      </w:r>
      <w:r w:rsidRPr="00244134">
        <w:rPr>
          <w:rFonts w:asciiTheme="minorHAnsi" w:hAnsiTheme="minorHAnsi" w:cstheme="minorHAnsi"/>
          <w:noProof/>
          <w:szCs w:val="24"/>
          <w:lang w:val="tr-TR"/>
        </w:rPr>
        <w:t xml:space="preserve"> her an ve her yerde yan</w:t>
      </w:r>
      <w:r>
        <w:rPr>
          <w:rFonts w:asciiTheme="minorHAnsi" w:hAnsiTheme="minorHAnsi" w:cstheme="minorHAnsi"/>
          <w:noProof/>
          <w:szCs w:val="24"/>
          <w:lang w:val="tr-TR"/>
        </w:rPr>
        <w:t>lar</w:t>
      </w:r>
      <w:r w:rsidRPr="00244134">
        <w:rPr>
          <w:rFonts w:asciiTheme="minorHAnsi" w:hAnsiTheme="minorHAnsi" w:cstheme="minorHAnsi"/>
          <w:noProof/>
          <w:szCs w:val="24"/>
          <w:lang w:val="tr-TR"/>
        </w:rPr>
        <w:t xml:space="preserve">ında olan 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Fibabanka, ekonominin bel kemiği olan esnaf ve KOBİ’leri destekleyerek, </w:t>
      </w:r>
      <w:r w:rsidRPr="004D0C1D">
        <w:rPr>
          <w:rFonts w:asciiTheme="minorHAnsi" w:hAnsiTheme="minorHAnsi" w:cstheme="minorHAnsi"/>
          <w:noProof/>
          <w:szCs w:val="24"/>
          <w:lang w:val="tr-TR"/>
        </w:rPr>
        <w:t>özellikle girişimciler ve işin</w:t>
      </w:r>
      <w:r>
        <w:rPr>
          <w:rFonts w:asciiTheme="minorHAnsi" w:hAnsiTheme="minorHAnsi" w:cstheme="minorHAnsi"/>
          <w:noProof/>
          <w:szCs w:val="24"/>
          <w:lang w:val="tr-TR"/>
        </w:rPr>
        <w:t>i büyütmek</w:t>
      </w:r>
      <w:r w:rsidRPr="004D0C1D">
        <w:rPr>
          <w:rFonts w:asciiTheme="minorHAnsi" w:hAnsiTheme="minorHAnsi" w:cstheme="minorHAnsi"/>
          <w:noProof/>
          <w:szCs w:val="24"/>
          <w:lang w:val="tr-TR"/>
        </w:rPr>
        <w:t xml:space="preserve"> isteyen mikro işletmelerin 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finansal </w:t>
      </w:r>
      <w:r w:rsidRPr="004D0C1D">
        <w:rPr>
          <w:rFonts w:asciiTheme="minorHAnsi" w:hAnsiTheme="minorHAnsi" w:cstheme="minorHAnsi"/>
          <w:noProof/>
          <w:szCs w:val="24"/>
          <w:lang w:val="tr-TR"/>
        </w:rPr>
        <w:t>ihtiyaçları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na çözüm sunmayı hedefliyor. Fibabanka, mikro işletmeler için sürdürülebilir istihdamın sağlanmasının, 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>sosyal korumanın temin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 edilmesinin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 xml:space="preserve"> ve çok daha iyi çalışma şartları oluşturul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masının kritik önemine inanıyor.  </w:t>
      </w:r>
    </w:p>
    <w:p w14:paraId="2AB7B98A" w14:textId="77777777" w:rsidR="00E4134F" w:rsidRPr="00864302" w:rsidRDefault="00E4134F" w:rsidP="00E4134F">
      <w:pPr>
        <w:pStyle w:val="NormalWeb"/>
        <w:shd w:val="clear" w:color="auto" w:fill="FFFFFF"/>
        <w:spacing w:before="0" w:after="300" w:line="276" w:lineRule="auto"/>
        <w:jc w:val="both"/>
        <w:rPr>
          <w:rFonts w:asciiTheme="minorHAnsi" w:hAnsiTheme="minorHAnsi" w:cstheme="minorHAnsi"/>
          <w:noProof/>
          <w:szCs w:val="24"/>
          <w:lang w:val="tr-TR"/>
        </w:rPr>
      </w:pPr>
      <w:r>
        <w:rPr>
          <w:rFonts w:asciiTheme="minorHAnsi" w:hAnsiTheme="minorHAnsi" w:cstheme="minorHAnsi"/>
          <w:noProof/>
          <w:szCs w:val="24"/>
          <w:lang w:val="tr-TR"/>
        </w:rPr>
        <w:t xml:space="preserve">Bu doğrultuda, </w:t>
      </w:r>
      <w:r w:rsidRPr="004D0C1D">
        <w:rPr>
          <w:rFonts w:asciiTheme="minorHAnsi" w:hAnsiTheme="minorHAnsi" w:cstheme="minorHAnsi"/>
          <w:noProof/>
          <w:szCs w:val="24"/>
          <w:lang w:val="tr-TR"/>
        </w:rPr>
        <w:t>2018 yıl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ında </w:t>
      </w:r>
      <w:r w:rsidRPr="004D0C1D">
        <w:rPr>
          <w:rFonts w:asciiTheme="minorHAnsi" w:hAnsiTheme="minorHAnsi" w:cstheme="minorHAnsi"/>
          <w:noProof/>
          <w:szCs w:val="24"/>
          <w:lang w:val="tr-TR"/>
        </w:rPr>
        <w:t>Avrupa Yatırım Fonu ile birlikte Avrupa Birliği İstihdam ve Sosyal Yenilik Programı (EaSI) altında kredi garanti anlaşması imzalayan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 </w:t>
      </w:r>
      <w:r w:rsidRPr="004D0C1D">
        <w:rPr>
          <w:rFonts w:asciiTheme="minorHAnsi" w:hAnsiTheme="minorHAnsi" w:cstheme="minorHAnsi"/>
          <w:noProof/>
          <w:szCs w:val="24"/>
          <w:lang w:val="tr-TR"/>
        </w:rPr>
        <w:t>Türkiye’deki ilk ve tek banka ol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an ve bu özelliğini koruyan Fibabanka, program kapsamında mikro işletmeleri 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>Avrupa’dan gelen finansman destekleriyle buluştur</w:t>
      </w:r>
      <w:r>
        <w:rPr>
          <w:rFonts w:asciiTheme="minorHAnsi" w:hAnsiTheme="minorHAnsi" w:cstheme="minorHAnsi"/>
          <w:noProof/>
          <w:szCs w:val="24"/>
          <w:lang w:val="tr-TR"/>
        </w:rPr>
        <w:t>uyor.</w:t>
      </w:r>
    </w:p>
    <w:p w14:paraId="6555B853" w14:textId="77777777" w:rsidR="00E4134F" w:rsidRDefault="00E4134F" w:rsidP="00E4134F">
      <w:pPr>
        <w:pStyle w:val="NormalWeb"/>
        <w:shd w:val="clear" w:color="auto" w:fill="FFFFFF"/>
        <w:spacing w:before="0" w:after="300" w:line="276" w:lineRule="auto"/>
        <w:jc w:val="both"/>
        <w:rPr>
          <w:rFonts w:asciiTheme="minorHAnsi" w:hAnsiTheme="minorHAnsi" w:cstheme="minorHAnsi"/>
          <w:noProof/>
          <w:szCs w:val="24"/>
          <w:lang w:val="tr-TR"/>
        </w:rPr>
      </w:pPr>
      <w:r>
        <w:rPr>
          <w:rFonts w:asciiTheme="minorHAnsi" w:hAnsiTheme="minorHAnsi" w:cstheme="minorHAnsi"/>
          <w:noProof/>
          <w:szCs w:val="24"/>
          <w:lang w:val="tr-TR"/>
        </w:rPr>
        <w:t>Bugüne kadar</w:t>
      </w:r>
      <w:r w:rsidRPr="0000412C">
        <w:rPr>
          <w:rFonts w:asciiTheme="minorHAnsi" w:hAnsiTheme="minorHAnsi" w:cstheme="minorHAnsi"/>
          <w:noProof/>
          <w:szCs w:val="24"/>
          <w:lang w:val="tr-TR"/>
        </w:rPr>
        <w:t xml:space="preserve"> yaklaşık 3,400 adet başvuru ile 130 milyon TL’lik kredi kullandırımına ulaşan Fibabanka’nın limiti, Avrupa Yatırım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 Fonu (EIF) tarafından </w:t>
      </w:r>
      <w:r w:rsidRPr="0000412C">
        <w:rPr>
          <w:rFonts w:asciiTheme="minorHAnsi" w:hAnsiTheme="minorHAnsi" w:cstheme="minorHAnsi"/>
          <w:noProof/>
          <w:szCs w:val="24"/>
          <w:lang w:val="tr-TR"/>
        </w:rPr>
        <w:t>40 milyon avro</w:t>
      </w:r>
      <w:r>
        <w:rPr>
          <w:rFonts w:asciiTheme="minorHAnsi" w:hAnsiTheme="minorHAnsi" w:cstheme="minorHAnsi"/>
          <w:noProof/>
          <w:szCs w:val="24"/>
          <w:lang w:val="tr-TR"/>
        </w:rPr>
        <w:t>y</w:t>
      </w:r>
      <w:r w:rsidRPr="0000412C">
        <w:rPr>
          <w:rFonts w:asciiTheme="minorHAnsi" w:hAnsiTheme="minorHAnsi" w:cstheme="minorHAnsi"/>
          <w:noProof/>
          <w:szCs w:val="24"/>
          <w:lang w:val="tr-TR"/>
        </w:rPr>
        <w:t>a yükseltil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di. 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>Fibabanka,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 g</w:t>
      </w:r>
      <w:r w:rsidRPr="0000412C">
        <w:rPr>
          <w:rFonts w:asciiTheme="minorHAnsi" w:hAnsiTheme="minorHAnsi" w:cstheme="minorHAnsi"/>
          <w:noProof/>
          <w:szCs w:val="24"/>
          <w:lang w:val="tr-TR"/>
        </w:rPr>
        <w:t>enişletilen kullandırım ağıyla</w:t>
      </w:r>
      <w:r>
        <w:rPr>
          <w:rFonts w:asciiTheme="minorHAnsi" w:hAnsiTheme="minorHAnsi" w:cstheme="minorHAnsi"/>
          <w:noProof/>
          <w:szCs w:val="24"/>
          <w:lang w:val="tr-TR"/>
        </w:rPr>
        <w:t>,</w:t>
      </w:r>
      <w:r w:rsidRPr="0000412C">
        <w:rPr>
          <w:rFonts w:asciiTheme="minorHAnsi" w:hAnsiTheme="minorHAnsi" w:cstheme="minorHAnsi"/>
          <w:noProof/>
          <w:szCs w:val="24"/>
          <w:lang w:val="tr-TR"/>
        </w:rPr>
        <w:t xml:space="preserve"> 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cirosu 3 milyon TL’ye kadar kadar olan, 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>9 kişi ve altında çalışan</w:t>
      </w:r>
      <w:r>
        <w:rPr>
          <w:rFonts w:asciiTheme="minorHAnsi" w:hAnsiTheme="minorHAnsi" w:cstheme="minorHAnsi"/>
          <w:noProof/>
          <w:szCs w:val="24"/>
          <w:lang w:val="tr-TR"/>
        </w:rPr>
        <w:t>ı bulunan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 xml:space="preserve"> 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mikro işletmelere 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>3 aydan 24 aya kadar vade seçen</w:t>
      </w:r>
      <w:r>
        <w:rPr>
          <w:rFonts w:asciiTheme="minorHAnsi" w:hAnsiTheme="minorHAnsi" w:cstheme="minorHAnsi"/>
          <w:noProof/>
          <w:szCs w:val="24"/>
          <w:lang w:val="tr-TR"/>
        </w:rPr>
        <w:t>eği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 xml:space="preserve"> </w:t>
      </w:r>
      <w:r>
        <w:rPr>
          <w:rFonts w:asciiTheme="minorHAnsi" w:hAnsiTheme="minorHAnsi" w:cstheme="minorHAnsi"/>
          <w:noProof/>
          <w:szCs w:val="24"/>
          <w:lang w:val="tr-TR"/>
        </w:rPr>
        <w:t>ile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 xml:space="preserve"> 130.000 TL'ye varan kredi imk</w:t>
      </w:r>
      <w:r>
        <w:rPr>
          <w:rFonts w:asciiTheme="minorHAnsi" w:hAnsiTheme="minorHAnsi" w:cstheme="minorHAnsi"/>
          <w:noProof/>
          <w:szCs w:val="24"/>
          <w:lang w:val="tr-TR"/>
        </w:rPr>
        <w:t>â</w:t>
      </w:r>
      <w:r w:rsidRPr="00864302">
        <w:rPr>
          <w:rFonts w:asciiTheme="minorHAnsi" w:hAnsiTheme="minorHAnsi" w:cstheme="minorHAnsi"/>
          <w:noProof/>
          <w:szCs w:val="24"/>
          <w:lang w:val="tr-TR"/>
        </w:rPr>
        <w:t>n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ı sağlıyor. </w:t>
      </w:r>
    </w:p>
    <w:p w14:paraId="248D3626" w14:textId="77777777" w:rsidR="00E4134F" w:rsidRDefault="00E4134F" w:rsidP="00E4134F">
      <w:pPr>
        <w:spacing w:line="276" w:lineRule="auto"/>
        <w:rPr>
          <w:rFonts w:asciiTheme="minorHAnsi" w:hAnsiTheme="minorHAnsi" w:cstheme="minorHAnsi"/>
          <w:noProof/>
          <w:szCs w:val="24"/>
          <w:lang w:val="tr-TR"/>
        </w:rPr>
      </w:pPr>
      <w:r>
        <w:rPr>
          <w:rFonts w:asciiTheme="minorHAnsi" w:hAnsiTheme="minorHAnsi" w:cstheme="minorHAnsi"/>
          <w:noProof/>
          <w:szCs w:val="24"/>
          <w:lang w:val="tr-TR"/>
        </w:rPr>
        <w:t xml:space="preserve">Krediden faydalanmak isteyen esnaf ve mikro işletmelerin, Fibabanka şubelerini ziyaret etmeleri, </w:t>
      </w:r>
      <w:hyperlink r:id="rId8" w:history="1">
        <w:r w:rsidRPr="00444B9A">
          <w:rPr>
            <w:rStyle w:val="Hyperlink"/>
            <w:rFonts w:asciiTheme="minorHAnsi" w:hAnsiTheme="minorHAnsi" w:cstheme="minorHAnsi"/>
            <w:noProof/>
            <w:szCs w:val="24"/>
            <w:lang w:val="tr-TR"/>
          </w:rPr>
          <w:t>www.fibabanka.com.tr</w:t>
        </w:r>
      </w:hyperlink>
      <w:r>
        <w:rPr>
          <w:rFonts w:asciiTheme="minorHAnsi" w:hAnsiTheme="minorHAnsi" w:cstheme="minorHAnsi"/>
          <w:noProof/>
          <w:szCs w:val="24"/>
          <w:lang w:val="tr-TR"/>
        </w:rPr>
        <w:t xml:space="preserve"> adresinden başvuruda bulunmaları veya </w:t>
      </w:r>
      <w:r w:rsidRPr="00EB1622">
        <w:rPr>
          <w:rFonts w:asciiTheme="minorHAnsi" w:hAnsiTheme="minorHAnsi" w:cstheme="minorHAnsi"/>
          <w:noProof/>
          <w:szCs w:val="24"/>
          <w:lang w:val="tr-TR"/>
        </w:rPr>
        <w:t>KOLAY yazıp</w:t>
      </w:r>
      <w:r>
        <w:rPr>
          <w:rFonts w:asciiTheme="minorHAnsi" w:hAnsiTheme="minorHAnsi" w:cstheme="minorHAnsi"/>
          <w:noProof/>
          <w:szCs w:val="24"/>
          <w:lang w:val="tr-TR"/>
        </w:rPr>
        <w:t>,</w:t>
      </w:r>
      <w:r w:rsidRPr="00EB1622">
        <w:rPr>
          <w:rFonts w:asciiTheme="minorHAnsi" w:hAnsiTheme="minorHAnsi" w:cstheme="minorHAnsi"/>
          <w:noProof/>
          <w:szCs w:val="24"/>
          <w:lang w:val="tr-TR"/>
        </w:rPr>
        <w:t xml:space="preserve"> boşluk bırakıp</w:t>
      </w:r>
      <w:r>
        <w:rPr>
          <w:rFonts w:asciiTheme="minorHAnsi" w:hAnsiTheme="minorHAnsi" w:cstheme="minorHAnsi"/>
          <w:noProof/>
          <w:szCs w:val="24"/>
          <w:lang w:val="tr-TR"/>
        </w:rPr>
        <w:t xml:space="preserve"> T.C. kimlik numarasını 3422’ye SMS göndermeleri yeterli oluyor. </w:t>
      </w:r>
    </w:p>
    <w:p w14:paraId="58631C28" w14:textId="77777777" w:rsidR="00D576C4" w:rsidRDefault="00D576C4" w:rsidP="00E4134F">
      <w:pPr>
        <w:spacing w:line="276" w:lineRule="auto"/>
        <w:rPr>
          <w:rFonts w:asciiTheme="minorHAnsi" w:hAnsiTheme="minorHAnsi" w:cstheme="minorHAnsi"/>
          <w:noProof/>
          <w:szCs w:val="24"/>
          <w:lang w:val="tr-TR"/>
        </w:rPr>
      </w:pPr>
    </w:p>
    <w:p w14:paraId="6D3C07E4" w14:textId="77777777" w:rsidR="00D576C4" w:rsidRDefault="00D576C4" w:rsidP="00E4134F">
      <w:pPr>
        <w:spacing w:line="276" w:lineRule="auto"/>
        <w:rPr>
          <w:rFonts w:asciiTheme="minorHAnsi" w:hAnsiTheme="minorHAnsi" w:cstheme="minorHAnsi"/>
          <w:noProof/>
          <w:szCs w:val="24"/>
          <w:lang w:val="tr-TR"/>
        </w:rPr>
      </w:pPr>
    </w:p>
    <w:p w14:paraId="33079C1B" w14:textId="77777777" w:rsidR="00D576C4" w:rsidRDefault="00D576C4" w:rsidP="00E4134F">
      <w:pPr>
        <w:spacing w:line="276" w:lineRule="auto"/>
        <w:rPr>
          <w:rFonts w:asciiTheme="minorHAnsi" w:hAnsiTheme="minorHAnsi" w:cstheme="minorHAnsi"/>
          <w:noProof/>
          <w:szCs w:val="24"/>
          <w:lang w:val="tr-TR"/>
        </w:rPr>
      </w:pPr>
    </w:p>
    <w:p w14:paraId="45FC8F66" w14:textId="77777777" w:rsidR="00D576C4" w:rsidRDefault="00D576C4" w:rsidP="00E4134F">
      <w:pPr>
        <w:spacing w:line="276" w:lineRule="auto"/>
        <w:rPr>
          <w:rFonts w:asciiTheme="minorHAnsi" w:hAnsiTheme="minorHAnsi" w:cstheme="minorHAnsi"/>
          <w:noProof/>
          <w:szCs w:val="24"/>
          <w:lang w:val="tr-TR"/>
        </w:rPr>
      </w:pPr>
    </w:p>
    <w:p w14:paraId="051622DC" w14:textId="77777777" w:rsidR="00AB6DA4" w:rsidRDefault="00AB6DA4">
      <w:r>
        <w:lastRenderedPageBreak/>
        <w:t xml:space="preserve"> </w:t>
      </w:r>
    </w:p>
    <w:p w14:paraId="3D440D7E" w14:textId="77777777" w:rsidR="00D576C4" w:rsidRDefault="00D576C4" w:rsidP="00D576C4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F358CB">
        <w:rPr>
          <w:rFonts w:cstheme="minorHAnsi"/>
          <w:b/>
          <w:bCs/>
        </w:rPr>
        <w:t>------------------------------------------------------------------------------------------------------------------------</w:t>
      </w:r>
    </w:p>
    <w:p w14:paraId="76C65DC2" w14:textId="77777777" w:rsidR="00D576C4" w:rsidRPr="00101D21" w:rsidRDefault="00D576C4" w:rsidP="00D576C4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101D21">
        <w:rPr>
          <w:rFonts w:asciiTheme="minorHAnsi" w:hAnsiTheme="minorHAnsi" w:cstheme="minorHAnsi"/>
          <w:b/>
          <w:bCs/>
          <w:szCs w:val="24"/>
        </w:rPr>
        <w:t>Fibabanka</w:t>
      </w:r>
      <w:proofErr w:type="spellEnd"/>
      <w:r w:rsidRPr="00101D21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b/>
          <w:bCs/>
          <w:szCs w:val="24"/>
        </w:rPr>
        <w:t>Hakkında</w:t>
      </w:r>
      <w:proofErr w:type="spellEnd"/>
      <w:r w:rsidRPr="00101D21">
        <w:rPr>
          <w:rFonts w:asciiTheme="minorHAnsi" w:hAnsiTheme="minorHAnsi" w:cstheme="minorHAnsi"/>
          <w:b/>
          <w:bCs/>
          <w:szCs w:val="24"/>
        </w:rPr>
        <w:t>:</w:t>
      </w:r>
    </w:p>
    <w:p w14:paraId="3307C427" w14:textId="77777777" w:rsidR="00D576C4" w:rsidRPr="00101D21" w:rsidRDefault="00D576C4" w:rsidP="00D576C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101D21">
        <w:rPr>
          <w:rFonts w:asciiTheme="minorHAnsi" w:hAnsiTheme="minorHAnsi" w:cstheme="minorHAnsi"/>
          <w:szCs w:val="24"/>
        </w:rPr>
        <w:t>Fiba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Grup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bünyesine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27 </w:t>
      </w:r>
      <w:proofErr w:type="spellStart"/>
      <w:r w:rsidRPr="00101D21">
        <w:rPr>
          <w:rFonts w:asciiTheme="minorHAnsi" w:hAnsiTheme="minorHAnsi" w:cstheme="minorHAnsi"/>
          <w:szCs w:val="24"/>
        </w:rPr>
        <w:t>Ekim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2010 </w:t>
      </w:r>
      <w:proofErr w:type="spellStart"/>
      <w:r w:rsidRPr="00101D21">
        <w:rPr>
          <w:rFonts w:asciiTheme="minorHAnsi" w:hAnsiTheme="minorHAnsi" w:cstheme="minorHAnsi"/>
          <w:szCs w:val="24"/>
        </w:rPr>
        <w:t>tarihinde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katılan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Fibabanka</w:t>
      </w:r>
      <w:proofErr w:type="spellEnd"/>
      <w:r w:rsidRPr="00101D21">
        <w:rPr>
          <w:rFonts w:asciiTheme="minorHAnsi" w:hAnsiTheme="minorHAnsi" w:cstheme="minorHAnsi"/>
          <w:szCs w:val="24"/>
        </w:rPr>
        <w:t>, “</w:t>
      </w:r>
      <w:proofErr w:type="spellStart"/>
      <w:r w:rsidRPr="00101D21">
        <w:rPr>
          <w:rFonts w:asciiTheme="minorHAnsi" w:hAnsiTheme="minorHAnsi" w:cstheme="minorHAnsi"/>
          <w:szCs w:val="24"/>
        </w:rPr>
        <w:t>Anlarız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hızla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01D21">
        <w:rPr>
          <w:rFonts w:asciiTheme="minorHAnsi" w:hAnsiTheme="minorHAnsi" w:cstheme="minorHAnsi"/>
          <w:szCs w:val="24"/>
        </w:rPr>
        <w:t>çözeriz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hızla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” </w:t>
      </w:r>
      <w:proofErr w:type="spellStart"/>
      <w:r w:rsidRPr="00101D21">
        <w:rPr>
          <w:rFonts w:asciiTheme="minorHAnsi" w:hAnsiTheme="minorHAnsi" w:cstheme="minorHAnsi"/>
          <w:szCs w:val="24"/>
        </w:rPr>
        <w:t>yaklaşımı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ve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müşterilerinin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ayağına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giden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banka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anlayışıyla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hizmet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vermektedir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101D21">
        <w:rPr>
          <w:rFonts w:asciiTheme="minorHAnsi" w:hAnsiTheme="minorHAnsi" w:cstheme="minorHAnsi"/>
          <w:szCs w:val="24"/>
        </w:rPr>
        <w:t>Fibabanka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, İstanbul, Ankara, İzmir </w:t>
      </w:r>
      <w:proofErr w:type="spellStart"/>
      <w:r w:rsidRPr="00101D21">
        <w:rPr>
          <w:rFonts w:asciiTheme="minorHAnsi" w:hAnsiTheme="minorHAnsi" w:cstheme="minorHAnsi"/>
          <w:szCs w:val="24"/>
        </w:rPr>
        <w:t>ve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Antalya </w:t>
      </w:r>
      <w:proofErr w:type="spellStart"/>
      <w:r w:rsidRPr="00101D21">
        <w:rPr>
          <w:rFonts w:asciiTheme="minorHAnsi" w:hAnsiTheme="minorHAnsi" w:cstheme="minorHAnsi"/>
          <w:szCs w:val="24"/>
        </w:rPr>
        <w:t>başta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olmak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üzere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Türkiye’de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toplam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63 </w:t>
      </w:r>
      <w:proofErr w:type="spellStart"/>
      <w:r w:rsidRPr="00101D21">
        <w:rPr>
          <w:rFonts w:asciiTheme="minorHAnsi" w:hAnsiTheme="minorHAnsi" w:cstheme="minorHAnsi"/>
          <w:szCs w:val="24"/>
        </w:rPr>
        <w:t>şubesi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ve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yaklaşık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1.600 </w:t>
      </w:r>
      <w:proofErr w:type="spellStart"/>
      <w:r w:rsidRPr="00101D21">
        <w:rPr>
          <w:rFonts w:asciiTheme="minorHAnsi" w:hAnsiTheme="minorHAnsi" w:cstheme="minorHAnsi"/>
          <w:szCs w:val="24"/>
        </w:rPr>
        <w:t>çalışanı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ile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Kurumsal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01D21">
        <w:rPr>
          <w:rFonts w:asciiTheme="minorHAnsi" w:hAnsiTheme="minorHAnsi" w:cstheme="minorHAnsi"/>
          <w:szCs w:val="24"/>
        </w:rPr>
        <w:t>Ticari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, KOBİ, </w:t>
      </w:r>
      <w:proofErr w:type="spellStart"/>
      <w:r w:rsidRPr="00101D21">
        <w:rPr>
          <w:rFonts w:asciiTheme="minorHAnsi" w:hAnsiTheme="minorHAnsi" w:cstheme="minorHAnsi"/>
          <w:szCs w:val="24"/>
        </w:rPr>
        <w:t>Bireysel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01D21">
        <w:rPr>
          <w:rFonts w:asciiTheme="minorHAnsi" w:hAnsiTheme="minorHAnsi" w:cstheme="minorHAnsi"/>
          <w:szCs w:val="24"/>
        </w:rPr>
        <w:t>Tarım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ve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Özel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Bankacılık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alanlarında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faaliyet</w:t>
      </w:r>
      <w:proofErr w:type="spellEnd"/>
      <w:r w:rsidRPr="00101D2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01D21">
        <w:rPr>
          <w:rFonts w:asciiTheme="minorHAnsi" w:hAnsiTheme="minorHAnsi" w:cstheme="minorHAnsi"/>
          <w:szCs w:val="24"/>
        </w:rPr>
        <w:t>göstermektedir</w:t>
      </w:r>
      <w:proofErr w:type="spellEnd"/>
      <w:r w:rsidRPr="00101D21">
        <w:rPr>
          <w:rFonts w:asciiTheme="minorHAnsi" w:hAnsiTheme="minorHAnsi" w:cstheme="minorHAnsi"/>
          <w:szCs w:val="24"/>
        </w:rPr>
        <w:t>.</w:t>
      </w:r>
    </w:p>
    <w:p w14:paraId="4BFCDC91" w14:textId="77777777" w:rsidR="00D576C4" w:rsidRPr="00101D21" w:rsidRDefault="00D576C4" w:rsidP="00D576C4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EA67CB2" w14:textId="77777777" w:rsidR="00D576C4" w:rsidRPr="00864302" w:rsidRDefault="00D576C4" w:rsidP="00D576C4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="Arial"/>
          <w:sz w:val="22"/>
          <w:szCs w:val="24"/>
          <w:lang w:eastAsia="en-US"/>
        </w:rPr>
      </w:pPr>
      <w:proofErr w:type="spellStart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Detaylı</w:t>
      </w:r>
      <w:proofErr w:type="spellEnd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proofErr w:type="spellStart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bilgi</w:t>
      </w:r>
      <w:proofErr w:type="spellEnd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proofErr w:type="spellStart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için</w:t>
      </w:r>
      <w:proofErr w:type="spellEnd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:</w:t>
      </w:r>
    </w:p>
    <w:p w14:paraId="140A8039" w14:textId="77777777" w:rsidR="00D576C4" w:rsidRPr="00864302" w:rsidRDefault="00D576C4" w:rsidP="00D576C4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="Arial"/>
          <w:sz w:val="22"/>
          <w:szCs w:val="24"/>
          <w:lang w:eastAsia="en-US"/>
        </w:rPr>
      </w:pPr>
      <w:proofErr w:type="spellStart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Bersay</w:t>
      </w:r>
      <w:proofErr w:type="spellEnd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proofErr w:type="spellStart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İletişim</w:t>
      </w:r>
      <w:proofErr w:type="spellEnd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proofErr w:type="spellStart"/>
      <w:r w:rsidRPr="00864302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Danışmanlığı</w:t>
      </w:r>
      <w:proofErr w:type="spellEnd"/>
    </w:p>
    <w:p w14:paraId="71E5D017" w14:textId="77777777" w:rsidR="00D576C4" w:rsidRPr="00864302" w:rsidRDefault="00D576C4" w:rsidP="00D576C4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864302">
        <w:rPr>
          <w:rFonts w:asciiTheme="minorHAnsi" w:eastAsia="Calibri" w:hAnsiTheme="minorHAnsi" w:cs="Arial"/>
          <w:sz w:val="22"/>
          <w:szCs w:val="24"/>
          <w:lang w:eastAsia="en-US"/>
        </w:rPr>
        <w:t xml:space="preserve">Burak </w:t>
      </w:r>
      <w:proofErr w:type="spellStart"/>
      <w:r w:rsidRPr="00864302">
        <w:rPr>
          <w:rFonts w:asciiTheme="minorHAnsi" w:eastAsia="Calibri" w:hAnsiTheme="minorHAnsi" w:cs="Arial"/>
          <w:sz w:val="22"/>
          <w:szCs w:val="24"/>
          <w:lang w:eastAsia="en-US"/>
        </w:rPr>
        <w:t>Sarıaslan</w:t>
      </w:r>
      <w:proofErr w:type="spellEnd"/>
      <w:r w:rsidRPr="00864302">
        <w:rPr>
          <w:rFonts w:asciiTheme="minorHAnsi" w:eastAsia="Calibri" w:hAnsiTheme="minorHAnsi" w:cs="Arial"/>
          <w:sz w:val="22"/>
          <w:szCs w:val="24"/>
          <w:lang w:eastAsia="en-US"/>
        </w:rPr>
        <w:t xml:space="preserve"> / </w:t>
      </w:r>
      <w:hyperlink r:id="rId9" w:history="1">
        <w:r w:rsidRPr="00864302">
          <w:rPr>
            <w:rStyle w:val="Hyperlink"/>
            <w:rFonts w:asciiTheme="minorHAnsi" w:eastAsia="Calibri" w:hAnsiTheme="minorHAnsi" w:cs="Arial"/>
            <w:sz w:val="22"/>
            <w:szCs w:val="24"/>
            <w:lang w:eastAsia="en-US"/>
          </w:rPr>
          <w:t xml:space="preserve"> burak.sariaslan@bersay.com.tr</w:t>
        </w:r>
      </w:hyperlink>
      <w:r w:rsidRPr="00864302">
        <w:rPr>
          <w:rFonts w:asciiTheme="minorHAnsi" w:eastAsia="Calibri" w:hAnsiTheme="minorHAnsi" w:cs="Arial"/>
          <w:sz w:val="22"/>
          <w:szCs w:val="24"/>
          <w:lang w:eastAsia="en-US"/>
        </w:rPr>
        <w:t xml:space="preserve"> / 0533 208 75 05 </w:t>
      </w:r>
    </w:p>
    <w:p w14:paraId="186CE3D7" w14:textId="77777777" w:rsidR="00D576C4" w:rsidRPr="00864302" w:rsidRDefault="00D576C4" w:rsidP="00D576C4">
      <w:pPr>
        <w:spacing w:line="276" w:lineRule="auto"/>
        <w:rPr>
          <w:rFonts w:asciiTheme="minorHAnsi" w:eastAsiaTheme="minorHAnsi" w:hAnsiTheme="minorHAnsi" w:cs="Arial"/>
          <w:noProof/>
          <w:sz w:val="21"/>
          <w:szCs w:val="21"/>
          <w:lang w:val="tr-TR" w:eastAsia="en-US"/>
        </w:rPr>
      </w:pPr>
      <w:proofErr w:type="spellStart"/>
      <w:r w:rsidRPr="00864302">
        <w:rPr>
          <w:rFonts w:asciiTheme="minorHAnsi" w:hAnsiTheme="minorHAnsi" w:cs="Arial"/>
          <w:sz w:val="22"/>
          <w:szCs w:val="24"/>
        </w:rPr>
        <w:t>Sinem</w:t>
      </w:r>
      <w:proofErr w:type="spellEnd"/>
      <w:r w:rsidRPr="00864302">
        <w:rPr>
          <w:rFonts w:asciiTheme="minorHAnsi" w:hAnsiTheme="minorHAnsi" w:cs="Arial"/>
          <w:sz w:val="22"/>
          <w:szCs w:val="24"/>
        </w:rPr>
        <w:t xml:space="preserve"> </w:t>
      </w:r>
      <w:proofErr w:type="spellStart"/>
      <w:r w:rsidRPr="00864302">
        <w:rPr>
          <w:rFonts w:asciiTheme="minorHAnsi" w:hAnsiTheme="minorHAnsi" w:cs="Arial"/>
          <w:sz w:val="22"/>
          <w:szCs w:val="24"/>
        </w:rPr>
        <w:t>Sünör</w:t>
      </w:r>
      <w:proofErr w:type="spellEnd"/>
      <w:r w:rsidRPr="00864302">
        <w:rPr>
          <w:rFonts w:asciiTheme="minorHAnsi" w:hAnsiTheme="minorHAnsi" w:cs="Arial"/>
          <w:sz w:val="22"/>
          <w:szCs w:val="24"/>
        </w:rPr>
        <w:t xml:space="preserve"> </w:t>
      </w:r>
      <w:proofErr w:type="spellStart"/>
      <w:r w:rsidRPr="00864302">
        <w:rPr>
          <w:rFonts w:asciiTheme="minorHAnsi" w:hAnsiTheme="minorHAnsi" w:cs="Arial"/>
          <w:sz w:val="22"/>
          <w:szCs w:val="24"/>
        </w:rPr>
        <w:t>Kutlu</w:t>
      </w:r>
      <w:proofErr w:type="spellEnd"/>
      <w:r w:rsidRPr="00864302">
        <w:rPr>
          <w:rFonts w:asciiTheme="minorHAnsi" w:hAnsiTheme="minorHAnsi" w:cs="Arial"/>
          <w:sz w:val="22"/>
          <w:szCs w:val="24"/>
        </w:rPr>
        <w:t xml:space="preserve"> / </w:t>
      </w:r>
      <w:hyperlink r:id="rId10" w:history="1">
        <w:r w:rsidRPr="00864302">
          <w:rPr>
            <w:rStyle w:val="Hyperlink"/>
            <w:rFonts w:asciiTheme="minorHAnsi" w:hAnsiTheme="minorHAnsi" w:cs="Arial"/>
            <w:sz w:val="22"/>
            <w:szCs w:val="24"/>
          </w:rPr>
          <w:t>sinem.kutlu@bersay.com.tr</w:t>
        </w:r>
      </w:hyperlink>
      <w:r w:rsidRPr="00864302">
        <w:rPr>
          <w:rFonts w:asciiTheme="minorHAnsi" w:hAnsiTheme="minorHAnsi" w:cs="Arial"/>
          <w:sz w:val="22"/>
          <w:szCs w:val="24"/>
        </w:rPr>
        <w:t xml:space="preserve"> / 0553 617 58 39</w:t>
      </w:r>
    </w:p>
    <w:p w14:paraId="246D6EB9" w14:textId="77777777" w:rsidR="00D576C4" w:rsidRDefault="00D576C4"/>
    <w:sectPr w:rsidR="00D5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A4"/>
    <w:rsid w:val="00124CD2"/>
    <w:rsid w:val="00301583"/>
    <w:rsid w:val="004327C1"/>
    <w:rsid w:val="0068207C"/>
    <w:rsid w:val="0069386C"/>
    <w:rsid w:val="008C6124"/>
    <w:rsid w:val="00AB6DA4"/>
    <w:rsid w:val="00BC738D"/>
    <w:rsid w:val="00D576C4"/>
    <w:rsid w:val="00E4134F"/>
    <w:rsid w:val="00E54DB0"/>
    <w:rsid w:val="00ED3DAE"/>
    <w:rsid w:val="00F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961E"/>
  <w15:chartTrackingRefBased/>
  <w15:docId w15:val="{83FCACF4-A3D0-4BE2-ADA2-07FCED9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4F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34F"/>
    <w:pPr>
      <w:spacing w:before="28" w:after="28"/>
    </w:pPr>
  </w:style>
  <w:style w:type="character" w:styleId="Hyperlink">
    <w:name w:val="Hyperlink"/>
    <w:basedOn w:val="DefaultParagraphFont"/>
    <w:uiPriority w:val="99"/>
    <w:unhideWhenUsed/>
    <w:rsid w:val="00E4134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81C4C"/>
  </w:style>
  <w:style w:type="paragraph" w:styleId="BalloonText">
    <w:name w:val="Balloon Text"/>
    <w:basedOn w:val="Normal"/>
    <w:link w:val="BalloonTextChar"/>
    <w:uiPriority w:val="99"/>
    <w:semiHidden/>
    <w:unhideWhenUsed/>
    <w:rsid w:val="00BC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8D"/>
    <w:rPr>
      <w:rFonts w:ascii="Segoe UI" w:eastAsia="Times New Roman" w:hAnsi="Segoe UI" w:cs="Segoe UI"/>
      <w:kern w:val="2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abanka.com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3.png@01D5DB72.342D0CE0" TargetMode="External"/><Relationship Id="rId10" Type="http://schemas.openxmlformats.org/officeDocument/2006/relationships/hyperlink" Target="mailto:sinem.kutlu@bersay.com.t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%20burak.sariaslan@bersay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Sariaslan</dc:creator>
  <cp:keywords/>
  <dc:description/>
  <cp:lastModifiedBy>Burak Sariaslan</cp:lastModifiedBy>
  <cp:revision>8</cp:revision>
  <dcterms:created xsi:type="dcterms:W3CDTF">2020-02-05T10:26:00Z</dcterms:created>
  <dcterms:modified xsi:type="dcterms:W3CDTF">2020-02-10T08:23:00Z</dcterms:modified>
</cp:coreProperties>
</file>